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C057C" w14:textId="36A5B302" w:rsidR="005A2AAA" w:rsidRDefault="005A2AAA" w:rsidP="005A2AAA">
      <w:pPr>
        <w:tabs>
          <w:tab w:val="right" w:pos="9630"/>
        </w:tabs>
        <w:spacing w:after="0"/>
        <w:jc w:val="both"/>
        <w:rPr>
          <w:color w:val="000000"/>
          <w:lang w:val="en-US"/>
        </w:rPr>
      </w:pPr>
      <w:bookmarkStart w:id="0" w:name="_Hlk506565237"/>
      <w:r>
        <w:rPr>
          <w:rFonts w:ascii="Arial" w:hAnsi="Arial" w:cs="Arial"/>
          <w:b/>
          <w:color w:val="000000"/>
          <w:sz w:val="24"/>
        </w:rPr>
        <w:t>3GPP TSG RAN WG1 Meeting #94bis</w:t>
      </w:r>
      <w:r>
        <w:rPr>
          <w:rFonts w:ascii="Arial" w:hAnsi="Arial" w:cs="Arial"/>
          <w:b/>
          <w:color w:val="000000"/>
          <w:sz w:val="24"/>
        </w:rPr>
        <w:tab/>
        <w:t>R1-1811262</w:t>
      </w:r>
    </w:p>
    <w:p w14:paraId="737B2A9A" w14:textId="769F7FA1" w:rsidR="005A2AAA" w:rsidRDefault="005A2AAA" w:rsidP="005A2AAA">
      <w:pPr>
        <w:jc w:val="both"/>
        <w:rPr>
          <w:rFonts w:ascii="Arial" w:hAnsi="Arial" w:cs="Arial"/>
          <w:b/>
          <w:sz w:val="24"/>
          <w:szCs w:val="24"/>
        </w:rPr>
      </w:pPr>
      <w:r>
        <w:rPr>
          <w:rFonts w:ascii="Arial" w:hAnsi="Arial" w:cs="Arial"/>
          <w:b/>
          <w:sz w:val="24"/>
          <w:szCs w:val="24"/>
        </w:rPr>
        <w:t>Chengdu, China, October 8</w:t>
      </w:r>
      <w:r w:rsidRPr="008D3F80">
        <w:rPr>
          <w:rFonts w:ascii="Arial" w:hAnsi="Arial" w:cs="Arial"/>
          <w:b/>
          <w:sz w:val="24"/>
          <w:szCs w:val="24"/>
          <w:vertAlign w:val="superscript"/>
        </w:rPr>
        <w:t>th</w:t>
      </w:r>
      <w:r>
        <w:rPr>
          <w:rFonts w:ascii="Arial" w:hAnsi="Arial" w:cs="Arial"/>
          <w:b/>
          <w:sz w:val="24"/>
          <w:szCs w:val="24"/>
        </w:rPr>
        <w:t xml:space="preserve"> – 12</w:t>
      </w:r>
      <w:r w:rsidRPr="008D3F80">
        <w:rPr>
          <w:rFonts w:ascii="Arial" w:hAnsi="Arial" w:cs="Arial"/>
          <w:b/>
          <w:sz w:val="24"/>
          <w:szCs w:val="24"/>
          <w:vertAlign w:val="superscript"/>
        </w:rPr>
        <w:t>th</w:t>
      </w:r>
      <w:r>
        <w:rPr>
          <w:rFonts w:ascii="Arial" w:hAnsi="Arial" w:cs="Arial"/>
          <w:b/>
          <w:sz w:val="24"/>
          <w:szCs w:val="24"/>
        </w:rPr>
        <w:t>, 2018</w:t>
      </w:r>
    </w:p>
    <w:p w14:paraId="21AFBACB" w14:textId="166CE8FF" w:rsidR="00093F58" w:rsidRDefault="00093F58" w:rsidP="00004318">
      <w:pPr>
        <w:pStyle w:val="Title"/>
        <w:tabs>
          <w:tab w:val="left" w:pos="709"/>
          <w:tab w:val="right" w:pos="9639"/>
        </w:tabs>
        <w:wordWrap w:val="0"/>
        <w:spacing w:after="0"/>
        <w:ind w:right="120"/>
        <w:jc w:val="both"/>
        <w:rPr>
          <w:rFonts w:cs="Arial"/>
          <w:color w:val="000000"/>
          <w:lang w:val="en-GB" w:eastAsia="ja-JP"/>
        </w:rPr>
      </w:pPr>
    </w:p>
    <w:p w14:paraId="6D9DAF1F" w14:textId="6B333FF9"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w:t>
      </w:r>
      <w:r w:rsidR="00D60528">
        <w:rPr>
          <w:rFonts w:ascii="Arial" w:hAnsi="Arial"/>
          <w:color w:val="000000"/>
          <w:sz w:val="24"/>
        </w:rPr>
        <w:t>2.4.1.3</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373A8F3B"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CE5E8C" w:rsidRPr="00CE5E8C">
        <w:rPr>
          <w:rFonts w:ascii="Arial" w:hAnsi="Arial"/>
          <w:sz w:val="22"/>
        </w:rPr>
        <w:t>Synchronization design for NR V2X</w:t>
      </w:r>
    </w:p>
    <w:p w14:paraId="0E5E33C8" w14:textId="3BC39AE4"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r w:rsidR="008D3F80">
        <w:rPr>
          <w:rFonts w:ascii="Arial" w:hAnsi="Arial"/>
          <w:sz w:val="24"/>
        </w:rPr>
        <w:t>/Decision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140574E7" w14:textId="265B86D1" w:rsidR="00EA4F69" w:rsidRDefault="00093F58" w:rsidP="00004318">
      <w:pPr>
        <w:jc w:val="both"/>
        <w:rPr>
          <w:lang w:val="en-US"/>
        </w:rPr>
      </w:pPr>
      <w:r>
        <w:rPr>
          <w:lang w:val="en-US"/>
        </w:rPr>
        <w:t>In RAN</w:t>
      </w:r>
      <w:r w:rsidR="003F385C">
        <w:rPr>
          <w:lang w:val="en-US"/>
        </w:rPr>
        <w:t>1</w:t>
      </w:r>
      <w:r>
        <w:rPr>
          <w:lang w:val="en-US"/>
        </w:rPr>
        <w:t xml:space="preserve"> #</w:t>
      </w:r>
      <w:r w:rsidR="003F385C">
        <w:rPr>
          <w:lang w:val="en-US"/>
        </w:rPr>
        <w:t>94, the following agreements were reached on synchronization for NR V2X.</w:t>
      </w:r>
    </w:p>
    <w:p w14:paraId="1DF2E2CD" w14:textId="77777777" w:rsidR="003F385C" w:rsidRPr="008906BA" w:rsidRDefault="003F385C" w:rsidP="003F385C">
      <w:pPr>
        <w:rPr>
          <w:lang w:eastAsia="x-none"/>
        </w:rPr>
      </w:pPr>
      <w:r w:rsidRPr="008906BA">
        <w:rPr>
          <w:highlight w:val="green"/>
          <w:lang w:eastAsia="x-none"/>
        </w:rPr>
        <w:t>Agreements</w:t>
      </w:r>
      <w:r w:rsidRPr="008906BA">
        <w:rPr>
          <w:lang w:eastAsia="x-none"/>
        </w:rPr>
        <w:t>:</w:t>
      </w:r>
    </w:p>
    <w:p w14:paraId="09F39576" w14:textId="77777777" w:rsidR="003F385C" w:rsidRPr="008906BA" w:rsidRDefault="003F385C" w:rsidP="003F385C">
      <w:pPr>
        <w:numPr>
          <w:ilvl w:val="0"/>
          <w:numId w:val="46"/>
        </w:numPr>
        <w:spacing w:after="0"/>
      </w:pPr>
      <w:r w:rsidRPr="008906BA">
        <w:rPr>
          <w:rFonts w:hint="eastAsia"/>
        </w:rPr>
        <w:t>NR V2X Sidelink Synchronization includes at least the following</w:t>
      </w:r>
    </w:p>
    <w:p w14:paraId="60B9922D" w14:textId="77777777" w:rsidR="003F385C" w:rsidRPr="008906BA" w:rsidRDefault="003F385C" w:rsidP="003F385C">
      <w:pPr>
        <w:numPr>
          <w:ilvl w:val="1"/>
          <w:numId w:val="46"/>
        </w:numPr>
        <w:spacing w:after="0"/>
      </w:pPr>
      <w:r w:rsidRPr="008906BA">
        <w:t>Sidelink synchronization signal</w:t>
      </w:r>
      <w:r w:rsidRPr="008906BA">
        <w:rPr>
          <w:rFonts w:hint="eastAsia"/>
        </w:rPr>
        <w:t>(</w:t>
      </w:r>
      <w:r w:rsidRPr="008906BA">
        <w:t>s</w:t>
      </w:r>
      <w:r w:rsidRPr="008906BA">
        <w:rPr>
          <w:rFonts w:hint="eastAsia"/>
        </w:rPr>
        <w:t>)</w:t>
      </w:r>
    </w:p>
    <w:p w14:paraId="4A29BF09" w14:textId="77777777" w:rsidR="003F385C" w:rsidRPr="008906BA" w:rsidRDefault="003F385C" w:rsidP="003F385C">
      <w:pPr>
        <w:numPr>
          <w:ilvl w:val="1"/>
          <w:numId w:val="46"/>
        </w:numPr>
        <w:spacing w:after="0"/>
      </w:pPr>
      <w:r w:rsidRPr="008906BA">
        <w:t>PSBCH</w:t>
      </w:r>
    </w:p>
    <w:p w14:paraId="3E928B52" w14:textId="77777777" w:rsidR="003F385C" w:rsidRPr="008906BA" w:rsidRDefault="003F385C" w:rsidP="003F385C">
      <w:pPr>
        <w:numPr>
          <w:ilvl w:val="1"/>
          <w:numId w:val="46"/>
        </w:numPr>
        <w:spacing w:after="0"/>
      </w:pPr>
      <w:r w:rsidRPr="008906BA">
        <w:t>Sidelink synchronization sources and procedure</w:t>
      </w:r>
      <w:r w:rsidRPr="008906BA">
        <w:rPr>
          <w:rFonts w:hint="eastAsia"/>
        </w:rPr>
        <w:t>(</w:t>
      </w:r>
      <w:r w:rsidRPr="008906BA">
        <w:t>s</w:t>
      </w:r>
      <w:r w:rsidRPr="008906BA">
        <w:rPr>
          <w:rFonts w:hint="eastAsia"/>
        </w:rPr>
        <w:t>)</w:t>
      </w:r>
    </w:p>
    <w:p w14:paraId="16F79478" w14:textId="77777777" w:rsidR="003F385C" w:rsidRDefault="003F385C" w:rsidP="003F385C">
      <w:pPr>
        <w:numPr>
          <w:ilvl w:val="2"/>
          <w:numId w:val="46"/>
        </w:numPr>
        <w:spacing w:after="0"/>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14:paraId="3307849B" w14:textId="77777777" w:rsidR="003F385C" w:rsidRPr="008906BA" w:rsidRDefault="003F385C" w:rsidP="003F385C">
      <w:pPr>
        <w:numPr>
          <w:ilvl w:val="3"/>
          <w:numId w:val="46"/>
        </w:numPr>
        <w:spacing w:after="0"/>
      </w:pPr>
      <w:r>
        <w:t>Note: this doesn’t mean all of them are to be supported</w:t>
      </w:r>
    </w:p>
    <w:p w14:paraId="676CFA6B" w14:textId="72FA5ABC" w:rsidR="003F385C" w:rsidRDefault="003F385C" w:rsidP="00004318">
      <w:pPr>
        <w:jc w:val="both"/>
        <w:rPr>
          <w:lang w:val="en-US"/>
        </w:rPr>
      </w:pPr>
    </w:p>
    <w:p w14:paraId="0977DCC8" w14:textId="2FC6BF2D" w:rsidR="003F385C" w:rsidRDefault="003F385C" w:rsidP="00004318">
      <w:pPr>
        <w:jc w:val="both"/>
        <w:rPr>
          <w:lang w:val="en-US"/>
        </w:rPr>
      </w:pPr>
      <w:r>
        <w:rPr>
          <w:lang w:val="en-US"/>
        </w:rPr>
        <w:t>In this contribution, we further discuss the synchronization mechanisms for NR V2X.</w:t>
      </w:r>
    </w:p>
    <w:p w14:paraId="3B4CCC1D" w14:textId="567D2320" w:rsidR="00754FDE" w:rsidRPr="00677958" w:rsidRDefault="00CF1AD4" w:rsidP="00004318">
      <w:pPr>
        <w:pStyle w:val="Heading1"/>
        <w:numPr>
          <w:ilvl w:val="0"/>
          <w:numId w:val="17"/>
        </w:numPr>
        <w:jc w:val="both"/>
        <w:rPr>
          <w:rFonts w:cs="Arial"/>
          <w:lang w:eastAsia="zh-CN"/>
        </w:rPr>
      </w:pPr>
      <w:r>
        <w:rPr>
          <w:rFonts w:cs="Arial"/>
          <w:lang w:eastAsia="zh-CN"/>
        </w:rPr>
        <w:t>Background</w:t>
      </w:r>
      <w:r w:rsidR="005C2B66">
        <w:rPr>
          <w:rFonts w:cs="Arial"/>
          <w:lang w:eastAsia="zh-CN"/>
        </w:rPr>
        <w:t xml:space="preserve"> on LTE V2X synchronization mechanism</w:t>
      </w:r>
    </w:p>
    <w:p w14:paraId="5755CF94" w14:textId="6D703082" w:rsidR="009D7FF9" w:rsidRDefault="005C2B66" w:rsidP="00E575CA">
      <w:pPr>
        <w:jc w:val="both"/>
        <w:rPr>
          <w:lang w:eastAsia="zh-CN"/>
        </w:rPr>
      </w:pPr>
      <w:r>
        <w:rPr>
          <w:lang w:eastAsia="zh-CN"/>
        </w:rPr>
        <w:t>LTE V2X synchronization mechanism relies on deriving time and frequency synchronization from one of the three potential synchronization source types: (</w:t>
      </w:r>
      <w:proofErr w:type="spellStart"/>
      <w:r>
        <w:rPr>
          <w:lang w:eastAsia="zh-CN"/>
        </w:rPr>
        <w:t>i</w:t>
      </w:r>
      <w:proofErr w:type="spellEnd"/>
      <w:r>
        <w:rPr>
          <w:lang w:eastAsia="zh-CN"/>
        </w:rPr>
        <w:t xml:space="preserve">) GNSS, (ii) </w:t>
      </w:r>
      <w:proofErr w:type="spellStart"/>
      <w:r>
        <w:rPr>
          <w:lang w:eastAsia="zh-CN"/>
        </w:rPr>
        <w:t>eNB</w:t>
      </w:r>
      <w:proofErr w:type="spellEnd"/>
      <w:r>
        <w:rPr>
          <w:lang w:eastAsia="zh-CN"/>
        </w:rPr>
        <w:t xml:space="preserve">, and (iii) </w:t>
      </w:r>
      <w:proofErr w:type="spellStart"/>
      <w:r>
        <w:rPr>
          <w:lang w:eastAsia="zh-CN"/>
        </w:rPr>
        <w:t>SyncRef</w:t>
      </w:r>
      <w:proofErr w:type="spellEnd"/>
      <w:r>
        <w:rPr>
          <w:lang w:eastAsia="zh-CN"/>
        </w:rPr>
        <w:t xml:space="preserve"> UE. </w:t>
      </w:r>
      <w:proofErr w:type="spellStart"/>
      <w:r>
        <w:rPr>
          <w:lang w:eastAsia="zh-CN"/>
        </w:rPr>
        <w:t>SyncRef</w:t>
      </w:r>
      <w:proofErr w:type="spellEnd"/>
      <w:r>
        <w:rPr>
          <w:lang w:eastAsia="zh-CN"/>
        </w:rPr>
        <w:t xml:space="preserve"> UEs are </w:t>
      </w:r>
      <w:r w:rsidR="00B152A5">
        <w:rPr>
          <w:lang w:eastAsia="zh-CN"/>
        </w:rPr>
        <w:t xml:space="preserve">the </w:t>
      </w:r>
      <w:r>
        <w:rPr>
          <w:lang w:eastAsia="zh-CN"/>
        </w:rPr>
        <w:t xml:space="preserve">UEs </w:t>
      </w:r>
      <w:r w:rsidR="00B152A5">
        <w:rPr>
          <w:lang w:eastAsia="zh-CN"/>
        </w:rPr>
        <w:t xml:space="preserve">which </w:t>
      </w:r>
      <w:r>
        <w:rPr>
          <w:lang w:eastAsia="zh-CN"/>
        </w:rPr>
        <w:t xml:space="preserve">may themselves be directly synchronized to GNSS or </w:t>
      </w:r>
      <w:proofErr w:type="spellStart"/>
      <w:r>
        <w:rPr>
          <w:lang w:eastAsia="zh-CN"/>
        </w:rPr>
        <w:t>eNB</w:t>
      </w:r>
      <w:proofErr w:type="spellEnd"/>
      <w:r>
        <w:rPr>
          <w:lang w:eastAsia="zh-CN"/>
        </w:rPr>
        <w:t xml:space="preserve"> (such that it’s a hop-0 </w:t>
      </w:r>
      <w:proofErr w:type="spellStart"/>
      <w:r>
        <w:rPr>
          <w:lang w:eastAsia="zh-CN"/>
        </w:rPr>
        <w:t>SyncRef</w:t>
      </w:r>
      <w:proofErr w:type="spellEnd"/>
      <w:r>
        <w:rPr>
          <w:lang w:eastAsia="zh-CN"/>
        </w:rPr>
        <w:t xml:space="preserve"> UE), or maybe synchronized to a hop-0 </w:t>
      </w:r>
      <w:proofErr w:type="spellStart"/>
      <w:r>
        <w:rPr>
          <w:lang w:eastAsia="zh-CN"/>
        </w:rPr>
        <w:t>SyncRef</w:t>
      </w:r>
      <w:proofErr w:type="spellEnd"/>
      <w:r>
        <w:rPr>
          <w:lang w:eastAsia="zh-CN"/>
        </w:rPr>
        <w:t xml:space="preserve"> UE (such that it’s a hop-1 </w:t>
      </w:r>
      <w:proofErr w:type="spellStart"/>
      <w:r>
        <w:rPr>
          <w:lang w:eastAsia="zh-CN"/>
        </w:rPr>
        <w:t>SyncRef</w:t>
      </w:r>
      <w:proofErr w:type="spellEnd"/>
      <w:r>
        <w:rPr>
          <w:lang w:eastAsia="zh-CN"/>
        </w:rPr>
        <w:t xml:space="preserve"> UE), and so on.</w:t>
      </w:r>
    </w:p>
    <w:p w14:paraId="148E36B6" w14:textId="5434E6A9" w:rsidR="005C2B66" w:rsidRDefault="005C2B66" w:rsidP="00E575CA">
      <w:pPr>
        <w:jc w:val="both"/>
        <w:rPr>
          <w:lang w:eastAsia="zh-CN"/>
        </w:rPr>
      </w:pPr>
      <w:r w:rsidRPr="005C2B66">
        <w:rPr>
          <w:b/>
          <w:lang w:eastAsia="zh-CN"/>
        </w:rPr>
        <w:t xml:space="preserve">Sidelink synchronization signals </w:t>
      </w:r>
      <w:r w:rsidR="00F90836">
        <w:rPr>
          <w:b/>
          <w:lang w:eastAsia="zh-CN"/>
        </w:rPr>
        <w:t xml:space="preserve">(SLSS) </w:t>
      </w:r>
      <w:r w:rsidRPr="005C2B66">
        <w:rPr>
          <w:b/>
          <w:lang w:eastAsia="zh-CN"/>
        </w:rPr>
        <w:t>and channel:</w:t>
      </w:r>
      <w:r>
        <w:rPr>
          <w:lang w:eastAsia="zh-CN"/>
        </w:rPr>
        <w:t xml:space="preserve"> Consists of PSSS, SSSS, and PSBCH. PSSS/SSSS resemble Rel-8 PSS/SSS, while PSBCH resembles PSSCH channel and contains information such as in-coverage indicator, </w:t>
      </w:r>
      <w:proofErr w:type="spellStart"/>
      <w:r>
        <w:rPr>
          <w:lang w:eastAsia="zh-CN"/>
        </w:rPr>
        <w:t>tdd</w:t>
      </w:r>
      <w:proofErr w:type="spellEnd"/>
      <w:r>
        <w:rPr>
          <w:lang w:eastAsia="zh-CN"/>
        </w:rPr>
        <w:t xml:space="preserve">-config, etc. The sidelink synchronization signals and channel are transmitted every 160ms (by a </w:t>
      </w:r>
      <w:proofErr w:type="spellStart"/>
      <w:r>
        <w:rPr>
          <w:lang w:eastAsia="zh-CN"/>
        </w:rPr>
        <w:t>SyncRef</w:t>
      </w:r>
      <w:proofErr w:type="spellEnd"/>
      <w:r>
        <w:rPr>
          <w:lang w:eastAsia="zh-CN"/>
        </w:rPr>
        <w:t xml:space="preserve"> UE) for V2X communications and over a fixed transmission BW of 6 PRBs. </w:t>
      </w:r>
    </w:p>
    <w:p w14:paraId="04223CEC" w14:textId="77777777" w:rsidR="00F90836" w:rsidRDefault="00F90836" w:rsidP="00E575CA">
      <w:pPr>
        <w:jc w:val="both"/>
        <w:rPr>
          <w:lang w:eastAsia="zh-CN"/>
        </w:rPr>
      </w:pPr>
      <w:r>
        <w:rPr>
          <w:b/>
          <w:lang w:eastAsia="zh-CN"/>
        </w:rPr>
        <w:t>Sidelink s</w:t>
      </w:r>
      <w:r w:rsidRPr="00F90836">
        <w:rPr>
          <w:b/>
          <w:lang w:eastAsia="zh-CN"/>
        </w:rPr>
        <w:t>ynchronization resources:</w:t>
      </w:r>
      <w:r>
        <w:rPr>
          <w:b/>
          <w:lang w:eastAsia="zh-CN"/>
        </w:rPr>
        <w:t xml:space="preserve"> </w:t>
      </w:r>
      <w:r>
        <w:rPr>
          <w:lang w:eastAsia="zh-CN"/>
        </w:rPr>
        <w:t>If no resources are configured for a given sidelink carrier, then only GNSS/</w:t>
      </w:r>
      <w:proofErr w:type="spellStart"/>
      <w:r>
        <w:rPr>
          <w:lang w:eastAsia="zh-CN"/>
        </w:rPr>
        <w:t>eNB</w:t>
      </w:r>
      <w:proofErr w:type="spellEnd"/>
      <w:r>
        <w:rPr>
          <w:lang w:eastAsia="zh-CN"/>
        </w:rPr>
        <w:t xml:space="preserve"> can be used as synchronization sources. If SLSS based synchronization is desired (i.e. use </w:t>
      </w:r>
      <w:proofErr w:type="spellStart"/>
      <w:r>
        <w:rPr>
          <w:lang w:eastAsia="zh-CN"/>
        </w:rPr>
        <w:t>SyncRef</w:t>
      </w:r>
      <w:proofErr w:type="spellEnd"/>
      <w:r>
        <w:rPr>
          <w:lang w:eastAsia="zh-CN"/>
        </w:rPr>
        <w:t xml:space="preserve"> UE to derive time/frequency synchronization, if needed), then the resource(s) to use for transmission of SLSS/PSBCH.</w:t>
      </w:r>
    </w:p>
    <w:p w14:paraId="2573A409" w14:textId="7ACDC9B0" w:rsidR="00F90836" w:rsidRPr="00F90836" w:rsidRDefault="00F90836" w:rsidP="00E575CA">
      <w:pPr>
        <w:jc w:val="both"/>
        <w:rPr>
          <w:b/>
          <w:lang w:eastAsia="zh-CN"/>
        </w:rPr>
      </w:pPr>
      <w:r>
        <w:rPr>
          <w:lang w:eastAsia="zh-CN"/>
        </w:rPr>
        <w:t xml:space="preserve">To enable SLSS based synchronization, one resource is configured for in-coverage UE by the </w:t>
      </w:r>
      <w:proofErr w:type="spellStart"/>
      <w:r>
        <w:rPr>
          <w:lang w:eastAsia="zh-CN"/>
        </w:rPr>
        <w:t>eNB</w:t>
      </w:r>
      <w:proofErr w:type="spellEnd"/>
      <w:r>
        <w:rPr>
          <w:lang w:eastAsia="zh-CN"/>
        </w:rPr>
        <w:t xml:space="preserve"> (and network is required to ensure it’s the same as the first resource that is (pre)configured for out-of-coverage operation). For out-of-coverage operation, ether two or three resources can be configured. The synchronization procedure and priority of synchronization sources differ depending whether two or three resources are (pre)configured.</w:t>
      </w:r>
    </w:p>
    <w:p w14:paraId="139DE139" w14:textId="36A993E0" w:rsidR="005C2B66" w:rsidRDefault="005C2B66" w:rsidP="00E575CA">
      <w:pPr>
        <w:jc w:val="both"/>
        <w:rPr>
          <w:lang w:eastAsia="zh-CN"/>
        </w:rPr>
      </w:pPr>
      <w:r w:rsidRPr="005C2B66">
        <w:rPr>
          <w:b/>
          <w:lang w:eastAsia="zh-CN"/>
        </w:rPr>
        <w:t>Sidelink synchronization procedure:</w:t>
      </w:r>
      <w:r>
        <w:rPr>
          <w:b/>
          <w:lang w:eastAsia="zh-CN"/>
        </w:rPr>
        <w:t xml:space="preserve"> </w:t>
      </w:r>
      <w:r w:rsidR="00F90836">
        <w:rPr>
          <w:lang w:eastAsia="zh-CN"/>
        </w:rPr>
        <w:t xml:space="preserve">The priority between the synchronization source types are specified and depend on the following configurations and coverage </w:t>
      </w:r>
      <w:r w:rsidR="005D6C1C">
        <w:rPr>
          <w:lang w:eastAsia="zh-CN"/>
        </w:rPr>
        <w:t>scenario</w:t>
      </w:r>
      <w:r w:rsidR="00F90836">
        <w:rPr>
          <w:lang w:eastAsia="zh-CN"/>
        </w:rPr>
        <w:t>:</w:t>
      </w:r>
    </w:p>
    <w:p w14:paraId="56C2A416" w14:textId="2F7F7604" w:rsidR="00F90836" w:rsidRDefault="00F90836" w:rsidP="00F90836">
      <w:pPr>
        <w:pStyle w:val="ListParagraph"/>
        <w:numPr>
          <w:ilvl w:val="0"/>
          <w:numId w:val="42"/>
        </w:numPr>
        <w:jc w:val="both"/>
        <w:rPr>
          <w:lang w:eastAsia="zh-CN"/>
        </w:rPr>
      </w:pPr>
      <w:r>
        <w:rPr>
          <w:lang w:eastAsia="zh-CN"/>
        </w:rPr>
        <w:t xml:space="preserve">In-coverage and GNSS is configured to be higher priority than </w:t>
      </w:r>
      <w:proofErr w:type="spellStart"/>
      <w:r>
        <w:rPr>
          <w:lang w:eastAsia="zh-CN"/>
        </w:rPr>
        <w:t>eNB</w:t>
      </w:r>
      <w:proofErr w:type="spellEnd"/>
    </w:p>
    <w:p w14:paraId="0D7C702E" w14:textId="47DF52CA" w:rsidR="00F90836" w:rsidRDefault="00F90836" w:rsidP="00F90836">
      <w:pPr>
        <w:pStyle w:val="ListParagraph"/>
        <w:numPr>
          <w:ilvl w:val="0"/>
          <w:numId w:val="42"/>
        </w:numPr>
        <w:jc w:val="both"/>
        <w:rPr>
          <w:lang w:eastAsia="zh-CN"/>
        </w:rPr>
      </w:pPr>
      <w:r>
        <w:rPr>
          <w:lang w:eastAsia="zh-CN"/>
        </w:rPr>
        <w:t xml:space="preserve">In-coverage and </w:t>
      </w:r>
      <w:proofErr w:type="spellStart"/>
      <w:r>
        <w:rPr>
          <w:lang w:eastAsia="zh-CN"/>
        </w:rPr>
        <w:t>eNB</w:t>
      </w:r>
      <w:proofErr w:type="spellEnd"/>
      <w:r>
        <w:rPr>
          <w:lang w:eastAsia="zh-CN"/>
        </w:rPr>
        <w:t xml:space="preserve"> is configured to be higher priority than GNSS</w:t>
      </w:r>
    </w:p>
    <w:p w14:paraId="33DC6EDB" w14:textId="6ADF2F2B" w:rsidR="00F90836" w:rsidRDefault="00F90836" w:rsidP="00F90836">
      <w:pPr>
        <w:pStyle w:val="ListParagraph"/>
        <w:numPr>
          <w:ilvl w:val="0"/>
          <w:numId w:val="42"/>
        </w:numPr>
        <w:jc w:val="both"/>
        <w:rPr>
          <w:lang w:eastAsia="zh-CN"/>
        </w:rPr>
      </w:pPr>
      <w:r>
        <w:rPr>
          <w:lang w:eastAsia="zh-CN"/>
        </w:rPr>
        <w:t xml:space="preserve">Out-of-coverage and </w:t>
      </w:r>
      <w:r w:rsidR="005D6C1C">
        <w:rPr>
          <w:lang w:eastAsia="zh-CN"/>
        </w:rPr>
        <w:t xml:space="preserve">GNSS is pre-configured to be higher priority than </w:t>
      </w:r>
      <w:proofErr w:type="spellStart"/>
      <w:r w:rsidR="005D6C1C">
        <w:rPr>
          <w:lang w:eastAsia="zh-CN"/>
        </w:rPr>
        <w:t>eNB</w:t>
      </w:r>
      <w:proofErr w:type="spellEnd"/>
    </w:p>
    <w:p w14:paraId="1605C3CB" w14:textId="4C46F089" w:rsidR="00F90836" w:rsidRDefault="00F90836" w:rsidP="00F90836">
      <w:pPr>
        <w:pStyle w:val="ListParagraph"/>
        <w:numPr>
          <w:ilvl w:val="0"/>
          <w:numId w:val="42"/>
        </w:numPr>
        <w:jc w:val="both"/>
        <w:rPr>
          <w:lang w:eastAsia="zh-CN"/>
        </w:rPr>
      </w:pPr>
      <w:r>
        <w:rPr>
          <w:lang w:eastAsia="zh-CN"/>
        </w:rPr>
        <w:lastRenderedPageBreak/>
        <w:t xml:space="preserve">Out-of-coverage and </w:t>
      </w:r>
      <w:proofErr w:type="spellStart"/>
      <w:r w:rsidR="005D6C1C">
        <w:rPr>
          <w:lang w:eastAsia="zh-CN"/>
        </w:rPr>
        <w:t>eNB</w:t>
      </w:r>
      <w:proofErr w:type="spellEnd"/>
      <w:r w:rsidR="005D6C1C">
        <w:rPr>
          <w:lang w:eastAsia="zh-CN"/>
        </w:rPr>
        <w:t xml:space="preserve"> is pre-configured to be higher priority than GNSS</w:t>
      </w:r>
    </w:p>
    <w:p w14:paraId="226BAF0F" w14:textId="339EE473" w:rsidR="003756DE" w:rsidRPr="003756DE" w:rsidRDefault="005C2B66" w:rsidP="00E575CA">
      <w:pPr>
        <w:jc w:val="both"/>
        <w:rPr>
          <w:lang w:eastAsia="zh-CN"/>
        </w:rPr>
      </w:pPr>
      <w:r>
        <w:rPr>
          <w:b/>
          <w:lang w:eastAsia="zh-CN"/>
        </w:rPr>
        <w:t>UE capability:</w:t>
      </w:r>
      <w:r w:rsidR="003756DE">
        <w:rPr>
          <w:b/>
          <w:lang w:eastAsia="zh-CN"/>
        </w:rPr>
        <w:t xml:space="preserve"> </w:t>
      </w:r>
      <w:r w:rsidR="003756DE">
        <w:rPr>
          <w:lang w:eastAsia="zh-CN"/>
        </w:rPr>
        <w:t>Due to the complexity in UE implementation, support of sidelink synchronization signal transmission and reception is a UE capability. This motivates studying potential enhancements with reduced complexity for NR V2X synchronization.</w:t>
      </w:r>
    </w:p>
    <w:p w14:paraId="65947A12" w14:textId="7864784D" w:rsidR="002972ED" w:rsidRDefault="003756DE" w:rsidP="002A69AA">
      <w:pPr>
        <w:pStyle w:val="Heading1"/>
        <w:numPr>
          <w:ilvl w:val="0"/>
          <w:numId w:val="17"/>
        </w:numPr>
        <w:rPr>
          <w:lang w:eastAsia="zh-CN"/>
        </w:rPr>
      </w:pPr>
      <w:r>
        <w:rPr>
          <w:lang w:eastAsia="zh-CN"/>
        </w:rPr>
        <w:t>NR V2X synchronization</w:t>
      </w:r>
    </w:p>
    <w:p w14:paraId="2B49ACDB" w14:textId="1C38D984" w:rsidR="00B44303" w:rsidRDefault="00B44303" w:rsidP="00B44303">
      <w:pPr>
        <w:pStyle w:val="Heading2"/>
        <w:numPr>
          <w:ilvl w:val="1"/>
          <w:numId w:val="17"/>
        </w:numPr>
      </w:pPr>
      <w:r>
        <w:t>NR V2X physical synchronization signals and channel</w:t>
      </w:r>
    </w:p>
    <w:p w14:paraId="4BFD6688" w14:textId="174DE244" w:rsidR="00B44303" w:rsidRDefault="00B44303" w:rsidP="00B44303">
      <w:pPr>
        <w:jc w:val="both"/>
      </w:pPr>
      <w:r>
        <w:t xml:space="preserve">The design on NR V2X synchronization signals and channel depend of general agreements for NR V2X waveform (e.g., </w:t>
      </w:r>
      <w:r w:rsidR="005A3E23">
        <w:t>CP-</w:t>
      </w:r>
      <w:r>
        <w:t>OFDM vs SC-FDM, subcarrier spacing etc.). While much of the same principles as LTE V2X can be reused (i.e. PSSS/SSSS/PSBCH), the design on the NR V2X physical synchronization signals and channel can be once general agreements on waveform for NR V2X are achieved.</w:t>
      </w:r>
    </w:p>
    <w:p w14:paraId="21EE140F" w14:textId="658AE260" w:rsidR="00ED6018" w:rsidRDefault="00ED6018" w:rsidP="00B44303">
      <w:pPr>
        <w:jc w:val="both"/>
      </w:pPr>
      <w:r>
        <w:t>The design of NR V2X physical synchronization signals can be either similar to LTE, or similar to SSB for NR, and partly depends on the waveform support for NR V2X.</w:t>
      </w:r>
    </w:p>
    <w:p w14:paraId="1A8478F8" w14:textId="788FF458" w:rsidR="00B44303" w:rsidRDefault="00B44303" w:rsidP="000547C8">
      <w:pPr>
        <w:jc w:val="both"/>
      </w:pPr>
      <w:bookmarkStart w:id="2" w:name="_Hlk521575228"/>
      <w:r w:rsidRPr="00B44303">
        <w:rPr>
          <w:b/>
        </w:rPr>
        <w:t>Proposal 1:</w:t>
      </w:r>
      <w:r>
        <w:t xml:space="preserve"> Study the design of NR V2X sidelink synchronization signals and channel(s) once general agreements on NR V2X waveform are achieved in the SI phase. </w:t>
      </w:r>
      <w:bookmarkEnd w:id="2"/>
    </w:p>
    <w:p w14:paraId="60A3995C" w14:textId="4F4BC43C" w:rsidR="00275DDD" w:rsidRDefault="00275DDD" w:rsidP="00275DDD">
      <w:pPr>
        <w:pStyle w:val="Heading2"/>
        <w:numPr>
          <w:ilvl w:val="1"/>
          <w:numId w:val="17"/>
        </w:numPr>
      </w:pPr>
      <w:r>
        <w:t xml:space="preserve">LTE V2X and NR V2X </w:t>
      </w:r>
      <w:r w:rsidR="00EA4F69">
        <w:t xml:space="preserve">cross-carrier </w:t>
      </w:r>
      <w:r>
        <w:t>synchronization</w:t>
      </w:r>
    </w:p>
    <w:p w14:paraId="210890B1" w14:textId="62BAB1B4" w:rsidR="00275DDD" w:rsidRDefault="00427066" w:rsidP="00427066">
      <w:pPr>
        <w:jc w:val="both"/>
      </w:pPr>
      <w:r>
        <w:t xml:space="preserve">In LTE V2X Release 15, we introduced Sidelink CA operation where the LTE V2X UE can derive the time-frequency synchronization from a synchronization source on a given synchronization carrier to use for sidelink transmission and reception on another (aggregated) carrier. </w:t>
      </w:r>
    </w:p>
    <w:p w14:paraId="2F403570" w14:textId="4819AA55" w:rsidR="00427066" w:rsidRDefault="00427066" w:rsidP="00427066">
      <w:pPr>
        <w:jc w:val="both"/>
      </w:pPr>
      <w:r>
        <w:t>In our view, a similar principle maybe useful to support for NR V2X, where in the UE may derive the time/frequency synchronization from a LTE V2X carrier (i.e. a carrier (pre)configured with LTE V2X resource pool and synchronization configuration) to use for NR V2X transmission and/or reception on a different carrier. Assuming LTE V2X carrier to be used for basic safety operations, this will be useful as the synchronization quality (SLSS based) is then expected to be good on the LTE carrier with higher density of UEs on that carrier. At least in the scenario where GNSS is the highest priority, the RAT or sidelink carrier used to derive the timing does not matter and can be beneficial for NR V2X operation to leverage LTE V2X synchronization.</w:t>
      </w:r>
    </w:p>
    <w:p w14:paraId="26647C88" w14:textId="63D749C9" w:rsidR="00427066" w:rsidRDefault="00427066" w:rsidP="00427066">
      <w:pPr>
        <w:jc w:val="both"/>
      </w:pPr>
      <w:bookmarkStart w:id="3" w:name="_Hlk521575238"/>
      <w:r w:rsidRPr="00427066">
        <w:rPr>
          <w:b/>
        </w:rPr>
        <w:t xml:space="preserve">Proposal </w:t>
      </w:r>
      <w:r w:rsidR="00CA6B5E">
        <w:rPr>
          <w:b/>
        </w:rPr>
        <w:t>2</w:t>
      </w:r>
      <w:r w:rsidRPr="00427066">
        <w:rPr>
          <w:b/>
        </w:rPr>
        <w:t>:</w:t>
      </w:r>
      <w:r>
        <w:t xml:space="preserve"> Study support of using time/frequency synchronization derived from LTE V2X on a given sidelink carrier to use for transmission and/or reception of NR V2X on a different sidelink carrier.</w:t>
      </w:r>
    </w:p>
    <w:bookmarkEnd w:id="3"/>
    <w:p w14:paraId="7306B278" w14:textId="081358B8" w:rsidR="00B44303" w:rsidRPr="00C27F6F" w:rsidRDefault="00275DDD" w:rsidP="00B44303">
      <w:pPr>
        <w:pStyle w:val="Heading2"/>
        <w:numPr>
          <w:ilvl w:val="1"/>
          <w:numId w:val="17"/>
        </w:numPr>
      </w:pPr>
      <w:r>
        <w:t>Synchronization procedure</w:t>
      </w:r>
    </w:p>
    <w:p w14:paraId="0C9B0860" w14:textId="50F46A5F" w:rsidR="00275DDD" w:rsidRDefault="00275DDD" w:rsidP="00275DDD">
      <w:pPr>
        <w:jc w:val="both"/>
        <w:rPr>
          <w:lang w:eastAsia="zh-CN"/>
        </w:rPr>
      </w:pPr>
      <w:r>
        <w:rPr>
          <w:lang w:eastAsia="zh-CN"/>
        </w:rPr>
        <w:t xml:space="preserve">As highlighted above, the current LTE V2X synchronization procedure and requirements present considerable UE implementation complexity. Moreover, in our view, such complexity may not be needed in all operation scenarios. This motivates the need to seek </w:t>
      </w:r>
      <w:r w:rsidR="000A74EB">
        <w:rPr>
          <w:lang w:eastAsia="zh-CN"/>
        </w:rPr>
        <w:t>r</w:t>
      </w:r>
      <w:r w:rsidR="008F24E1">
        <w:rPr>
          <w:lang w:eastAsia="zh-CN"/>
        </w:rPr>
        <w:t>educe</w:t>
      </w:r>
      <w:r w:rsidR="000A74EB">
        <w:rPr>
          <w:lang w:eastAsia="zh-CN"/>
        </w:rPr>
        <w:t>d</w:t>
      </w:r>
      <w:r w:rsidR="008F24E1">
        <w:rPr>
          <w:lang w:eastAsia="zh-CN"/>
        </w:rPr>
        <w:t xml:space="preserve"> complexity </w:t>
      </w:r>
      <w:r w:rsidR="000A74EB">
        <w:rPr>
          <w:lang w:eastAsia="zh-CN"/>
        </w:rPr>
        <w:t xml:space="preserve">enhancements to </w:t>
      </w:r>
      <w:r w:rsidR="008F24E1">
        <w:rPr>
          <w:lang w:eastAsia="zh-CN"/>
        </w:rPr>
        <w:t xml:space="preserve">the </w:t>
      </w:r>
      <w:r w:rsidR="000A74EB">
        <w:rPr>
          <w:lang w:eastAsia="zh-CN"/>
        </w:rPr>
        <w:t xml:space="preserve">LTE V2X </w:t>
      </w:r>
      <w:r w:rsidR="008F24E1">
        <w:rPr>
          <w:lang w:eastAsia="zh-CN"/>
        </w:rPr>
        <w:t>synch</w:t>
      </w:r>
      <w:r w:rsidR="000A74EB">
        <w:rPr>
          <w:lang w:eastAsia="zh-CN"/>
        </w:rPr>
        <w:t xml:space="preserve">ronization procedure. </w:t>
      </w:r>
    </w:p>
    <w:p w14:paraId="23BCE070" w14:textId="19FDBBEC" w:rsidR="00EA4F69" w:rsidRDefault="000A74EB" w:rsidP="00275DDD">
      <w:pPr>
        <w:jc w:val="both"/>
        <w:rPr>
          <w:i/>
          <w:u w:val="single"/>
          <w:lang w:eastAsia="zh-CN"/>
        </w:rPr>
      </w:pPr>
      <w:r>
        <w:rPr>
          <w:lang w:eastAsia="zh-CN"/>
        </w:rPr>
        <w:t xml:space="preserve">As motivation, </w:t>
      </w:r>
      <w:r w:rsidR="00275DDD">
        <w:rPr>
          <w:lang w:eastAsia="zh-CN"/>
        </w:rPr>
        <w:t xml:space="preserve">let’s </w:t>
      </w:r>
      <w:r>
        <w:rPr>
          <w:lang w:eastAsia="zh-CN"/>
        </w:rPr>
        <w:t xml:space="preserve">consider the example of </w:t>
      </w:r>
      <w:r w:rsidR="00275DDD">
        <w:rPr>
          <w:lang w:eastAsia="zh-CN"/>
        </w:rPr>
        <w:t xml:space="preserve">out-of-coverage </w:t>
      </w:r>
      <w:r>
        <w:rPr>
          <w:lang w:eastAsia="zh-CN"/>
        </w:rPr>
        <w:t>operation with GNSS pre-configured as the highest priority</w:t>
      </w:r>
      <w:r w:rsidR="00275DDD">
        <w:rPr>
          <w:lang w:eastAsia="zh-CN"/>
        </w:rPr>
        <w:t>. In such case, the priority of the synchronization source types is given as follows:</w:t>
      </w:r>
    </w:p>
    <w:p w14:paraId="39AF1358" w14:textId="6057CF69" w:rsidR="00275DDD" w:rsidRPr="00F225FF" w:rsidRDefault="00275DDD" w:rsidP="00275DDD">
      <w:pPr>
        <w:jc w:val="both"/>
        <w:rPr>
          <w:i/>
          <w:u w:val="single"/>
          <w:lang w:eastAsia="zh-CN"/>
        </w:rPr>
      </w:pPr>
      <w:r w:rsidRPr="00F225FF">
        <w:rPr>
          <w:i/>
          <w:u w:val="single"/>
          <w:lang w:eastAsia="zh-CN"/>
        </w:rPr>
        <w:t>Priority of synchronization source types with out-of-coverage with GNSS (pre)configured as highest priority:</w:t>
      </w:r>
    </w:p>
    <w:p w14:paraId="0C85F9E1" w14:textId="77777777" w:rsidR="00275DDD" w:rsidRPr="00F225FF" w:rsidRDefault="00275DDD" w:rsidP="00275DDD">
      <w:pPr>
        <w:pStyle w:val="ListParagraph"/>
        <w:numPr>
          <w:ilvl w:val="0"/>
          <w:numId w:val="43"/>
        </w:numPr>
        <w:rPr>
          <w:lang w:val="en-US" w:eastAsia="zh-CN"/>
        </w:rPr>
      </w:pPr>
      <w:r w:rsidRPr="00F225FF">
        <w:rPr>
          <w:lang w:val="en-US" w:eastAsia="zh-CN"/>
        </w:rPr>
        <w:t>GNSS</w:t>
      </w:r>
    </w:p>
    <w:p w14:paraId="0ACFD73A"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directly synchronized to </w:t>
      </w:r>
      <w:proofErr w:type="spellStart"/>
      <w:r w:rsidRPr="00F225FF">
        <w:rPr>
          <w:lang w:val="en-US" w:eastAsia="zh-CN"/>
        </w:rPr>
        <w:t>eNB</w:t>
      </w:r>
      <w:proofErr w:type="spellEnd"/>
      <w:r w:rsidRPr="00F225FF">
        <w:rPr>
          <w:lang w:val="en-US" w:eastAsia="zh-CN"/>
        </w:rPr>
        <w:t xml:space="preserve"> </w:t>
      </w:r>
      <w:r w:rsidRPr="00F225FF">
        <w:rPr>
          <w:lang w:val="en-US" w:eastAsia="zh-CN"/>
        </w:rPr>
        <w:br/>
        <w:t xml:space="preserve">(SLSSID in </w:t>
      </w:r>
      <w:proofErr w:type="spellStart"/>
      <w:r w:rsidRPr="00F225FF">
        <w:rPr>
          <w:lang w:val="en-US" w:eastAsia="zh-CN"/>
        </w:rPr>
        <w:t>slss_net</w:t>
      </w:r>
      <w:proofErr w:type="spellEnd"/>
      <w:r w:rsidRPr="00F225FF">
        <w:rPr>
          <w:lang w:val="en-US" w:eastAsia="zh-CN"/>
        </w:rPr>
        <w:t>, INC = 1)</w:t>
      </w:r>
    </w:p>
    <w:p w14:paraId="62807F2B"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directly synchronized to GNSS </w:t>
      </w:r>
      <w:r w:rsidRPr="00F225FF">
        <w:rPr>
          <w:lang w:val="en-US" w:eastAsia="zh-CN"/>
        </w:rPr>
        <w:br/>
        <w:t>(SLSSID = 0, INC = 1 /OR/ SLSSID = 0, resource = 3)</w:t>
      </w:r>
    </w:p>
    <w:p w14:paraId="769B902D"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w:t>
      </w:r>
      <w:proofErr w:type="spellStart"/>
      <w:r w:rsidRPr="00F225FF">
        <w:rPr>
          <w:lang w:val="en-US" w:eastAsia="zh-CN"/>
        </w:rPr>
        <w:t>eNB</w:t>
      </w:r>
      <w:proofErr w:type="spellEnd"/>
      <w:r w:rsidRPr="00F225FF">
        <w:rPr>
          <w:lang w:val="en-US" w:eastAsia="zh-CN"/>
        </w:rPr>
        <w:t xml:space="preserve"> </w:t>
      </w:r>
      <w:r w:rsidRPr="00F225FF">
        <w:rPr>
          <w:lang w:val="en-US" w:eastAsia="zh-CN"/>
        </w:rPr>
        <w:br/>
        <w:t xml:space="preserve">(SLSSID in </w:t>
      </w:r>
      <w:proofErr w:type="spellStart"/>
      <w:r w:rsidRPr="00F225FF">
        <w:rPr>
          <w:lang w:val="en-US" w:eastAsia="zh-CN"/>
        </w:rPr>
        <w:t>slss_net</w:t>
      </w:r>
      <w:proofErr w:type="spellEnd"/>
      <w:r w:rsidRPr="00F225FF">
        <w:rPr>
          <w:lang w:val="en-US" w:eastAsia="zh-CN"/>
        </w:rPr>
        <w:t>, INC = 0)</w:t>
      </w:r>
    </w:p>
    <w:p w14:paraId="48F6FC58"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GNSS</w:t>
      </w:r>
      <w:r w:rsidRPr="00F225FF">
        <w:rPr>
          <w:lang w:val="en-US" w:eastAsia="zh-CN"/>
        </w:rPr>
        <w:br/>
        <w:t>(SLSSID = 0, INC = FALSE &amp; resource 1 or 2)</w:t>
      </w:r>
    </w:p>
    <w:p w14:paraId="463B8852"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GNSS via OOC UE</w:t>
      </w:r>
      <w:r w:rsidRPr="00F225FF">
        <w:rPr>
          <w:lang w:val="en-US" w:eastAsia="zh-CN"/>
        </w:rPr>
        <w:br/>
        <w:t>(SLSS ID = 169, INC = False; with three resources configured)</w:t>
      </w:r>
    </w:p>
    <w:p w14:paraId="74E98F26" w14:textId="77777777" w:rsidR="00275DDD" w:rsidRPr="00F225FF" w:rsidRDefault="00275DDD" w:rsidP="00275DDD">
      <w:pPr>
        <w:pStyle w:val="ListParagraph"/>
        <w:numPr>
          <w:ilvl w:val="0"/>
          <w:numId w:val="43"/>
        </w:numPr>
        <w:rPr>
          <w:lang w:val="en-US" w:eastAsia="zh-CN"/>
        </w:rPr>
      </w:pPr>
      <w:r w:rsidRPr="00F225FF">
        <w:rPr>
          <w:lang w:val="en-US" w:eastAsia="zh-CN"/>
        </w:rPr>
        <w:t xml:space="preserve">Independent </w:t>
      </w:r>
      <w:proofErr w:type="spellStart"/>
      <w:r w:rsidRPr="00F225FF">
        <w:rPr>
          <w:lang w:val="en-US" w:eastAsia="zh-CN"/>
        </w:rPr>
        <w:t>SyncRef</w:t>
      </w:r>
      <w:proofErr w:type="spellEnd"/>
      <w:r w:rsidRPr="00F225FF">
        <w:rPr>
          <w:lang w:val="en-US" w:eastAsia="zh-CN"/>
        </w:rPr>
        <w:t xml:space="preserve"> UEs</w:t>
      </w:r>
    </w:p>
    <w:p w14:paraId="3F258B15" w14:textId="77777777" w:rsidR="00275DDD" w:rsidRDefault="00275DDD" w:rsidP="00275DDD">
      <w:pPr>
        <w:jc w:val="both"/>
        <w:rPr>
          <w:lang w:eastAsia="zh-CN"/>
        </w:rPr>
      </w:pPr>
      <w:r>
        <w:rPr>
          <w:lang w:eastAsia="zh-CN"/>
        </w:rPr>
        <w:t xml:space="preserve">In this scenario, unless the UE is directly synchronized to GNSS (highest priority) is required to constantly perform a full (synchronous and asynchronous) search for other </w:t>
      </w:r>
      <w:proofErr w:type="spellStart"/>
      <w:r>
        <w:rPr>
          <w:lang w:eastAsia="zh-CN"/>
        </w:rPr>
        <w:t>SyncRef</w:t>
      </w:r>
      <w:proofErr w:type="spellEnd"/>
      <w:r>
        <w:rPr>
          <w:lang w:eastAsia="zh-CN"/>
        </w:rPr>
        <w:t xml:space="preserve"> UEs and reselect if a higher priority source is found. This requires the UE to implement a searcher for sidelink synchronization that is constantly running asynchronous to the data reception operation (i.e. UE needs to be able to handle two asynchronous timings – one for data transmission and reception, and an asynchronous timing for searcher operation). While some allowance (0.5% for a sidelink carrier) of dropping V2X communication data reception are allowed by RAN4 specification [36.133], it may not be desired to drop V2X data reception unless really needed.</w:t>
      </w:r>
    </w:p>
    <w:p w14:paraId="1E557C39" w14:textId="7EBEA755" w:rsidR="00275DDD" w:rsidRDefault="00275DDD" w:rsidP="00275DDD">
      <w:pPr>
        <w:jc w:val="both"/>
        <w:rPr>
          <w:lang w:eastAsia="zh-CN"/>
        </w:rPr>
      </w:pPr>
      <w:r>
        <w:rPr>
          <w:lang w:eastAsia="zh-CN"/>
        </w:rPr>
        <w:t xml:space="preserve">However, if we consider the scenario of out-of-coverage operation for V2X in an ITS channel (no </w:t>
      </w:r>
      <w:proofErr w:type="spellStart"/>
      <w:r>
        <w:rPr>
          <w:lang w:eastAsia="zh-CN"/>
        </w:rPr>
        <w:t>eNB</w:t>
      </w:r>
      <w:proofErr w:type="spellEnd"/>
      <w:r>
        <w:rPr>
          <w:lang w:eastAsia="zh-CN"/>
        </w:rPr>
        <w:t xml:space="preserve"> coverage), we can potentially limit the attention to GNSS and </w:t>
      </w:r>
      <w:proofErr w:type="spellStart"/>
      <w:r>
        <w:rPr>
          <w:lang w:eastAsia="zh-CN"/>
        </w:rPr>
        <w:t>SyncRef</w:t>
      </w:r>
      <w:proofErr w:type="spellEnd"/>
      <w:r>
        <w:rPr>
          <w:lang w:eastAsia="zh-CN"/>
        </w:rPr>
        <w:t xml:space="preserve"> UEs directly or in-directly synchronized to GNSS. In such a case, if we further remove the consideration of an independent synchronization source, then the synchronization mechanism reduces to a synchronization search only. In other words, much of the complexity in synchronization arises from mixing of </w:t>
      </w:r>
      <w:proofErr w:type="spellStart"/>
      <w:r>
        <w:rPr>
          <w:lang w:eastAsia="zh-CN"/>
        </w:rPr>
        <w:t>eNB</w:t>
      </w:r>
      <w:proofErr w:type="spellEnd"/>
      <w:r>
        <w:rPr>
          <w:lang w:eastAsia="zh-CN"/>
        </w:rPr>
        <w:t xml:space="preserve"> and GNSS synchronization sources, and handling of independent synchronization source. </w:t>
      </w:r>
    </w:p>
    <w:p w14:paraId="732662E9" w14:textId="66A5ED93" w:rsidR="000A74EB" w:rsidRDefault="000A74EB" w:rsidP="00275DDD">
      <w:pPr>
        <w:jc w:val="both"/>
        <w:rPr>
          <w:lang w:eastAsia="zh-CN"/>
        </w:rPr>
      </w:pPr>
      <w:r>
        <w:rPr>
          <w:lang w:eastAsia="zh-CN"/>
        </w:rPr>
        <w:t xml:space="preserve">In realistic scenarios like: (a) urban driving where GNSS coverage is spotty, and (b) </w:t>
      </w:r>
      <w:r w:rsidR="00EE3405">
        <w:rPr>
          <w:lang w:eastAsia="zh-CN"/>
        </w:rPr>
        <w:t xml:space="preserve">tunnel scenario with GNSS coverage outside the tunnels: </w:t>
      </w:r>
      <w:r>
        <w:rPr>
          <w:lang w:eastAsia="zh-CN"/>
        </w:rPr>
        <w:t xml:space="preserve">the </w:t>
      </w:r>
      <w:r w:rsidR="00EE3405">
        <w:rPr>
          <w:lang w:eastAsia="zh-CN"/>
        </w:rPr>
        <w:t xml:space="preserve">vehicular </w:t>
      </w:r>
      <w:r>
        <w:rPr>
          <w:lang w:eastAsia="zh-CN"/>
        </w:rPr>
        <w:t>UE will have GNSS coverage certain times and may lose it for some time. In such scenario</w:t>
      </w:r>
      <w:r w:rsidR="00EE3405">
        <w:rPr>
          <w:lang w:eastAsia="zh-CN"/>
        </w:rPr>
        <w:t>(s)</w:t>
      </w:r>
      <w:r>
        <w:rPr>
          <w:lang w:eastAsia="zh-CN"/>
        </w:rPr>
        <w:t xml:space="preserve">, even when UE has lost GNSS, an asynchronous search for </w:t>
      </w:r>
      <w:proofErr w:type="spellStart"/>
      <w:r>
        <w:rPr>
          <w:lang w:eastAsia="zh-CN"/>
        </w:rPr>
        <w:t>SyncRef</w:t>
      </w:r>
      <w:proofErr w:type="spellEnd"/>
      <w:r>
        <w:rPr>
          <w:lang w:eastAsia="zh-CN"/>
        </w:rPr>
        <w:t xml:space="preserve"> UEs is not needed in most cases as the UE’s oscillator would not have drifted significantly. From a UE complexity and system performance viewpoint, two enhancements can then help in such realistic scenario:</w:t>
      </w:r>
    </w:p>
    <w:p w14:paraId="069804CF" w14:textId="3749B774" w:rsidR="00EE3405" w:rsidRDefault="00EE3405" w:rsidP="00EE3405">
      <w:pPr>
        <w:pStyle w:val="ListParagraph"/>
        <w:numPr>
          <w:ilvl w:val="0"/>
          <w:numId w:val="45"/>
        </w:numPr>
        <w:jc w:val="both"/>
        <w:rPr>
          <w:lang w:eastAsia="zh-CN"/>
        </w:rPr>
      </w:pPr>
      <w:r>
        <w:rPr>
          <w:lang w:eastAsia="zh-CN"/>
        </w:rPr>
        <w:t>Relaxed time/frequency synchronization error requirements for NR V2X sidelink transmission and reception, as the current requirements of +-12Ts are overly stringent and can be optimized for V2X use case.</w:t>
      </w:r>
    </w:p>
    <w:p w14:paraId="0CF023D3" w14:textId="3169C462" w:rsidR="00EE3405" w:rsidRDefault="00EE3405" w:rsidP="00F61988">
      <w:pPr>
        <w:pStyle w:val="ListParagraph"/>
        <w:numPr>
          <w:ilvl w:val="0"/>
          <w:numId w:val="45"/>
        </w:numPr>
        <w:jc w:val="both"/>
        <w:rPr>
          <w:lang w:eastAsia="zh-CN"/>
        </w:rPr>
      </w:pPr>
      <w:r>
        <w:rPr>
          <w:lang w:eastAsia="zh-CN"/>
        </w:rPr>
        <w:t>Reduced complexity synchronization procedure to allow for synchronous-only synchronization source search and/or time/frequency synchronization adjustment.</w:t>
      </w:r>
    </w:p>
    <w:p w14:paraId="7FEE9924" w14:textId="720F580F" w:rsidR="00EE3405" w:rsidRDefault="00EE3405" w:rsidP="00EE3405">
      <w:pPr>
        <w:jc w:val="both"/>
        <w:rPr>
          <w:lang w:eastAsia="zh-CN"/>
        </w:rPr>
      </w:pPr>
      <w:r>
        <w:rPr>
          <w:lang w:eastAsia="zh-CN"/>
        </w:rPr>
        <w:t xml:space="preserve">For (2) above, we can potentially study both SLSS based and non-SLSS based synchronization procedures. The motivation is to consider the case when the </w:t>
      </w:r>
      <w:r w:rsidRPr="00EE3405">
        <w:rPr>
          <w:lang w:eastAsia="zh-CN"/>
        </w:rPr>
        <w:t>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w:t>
      </w:r>
      <w:r w:rsidR="0002618E" w:rsidRPr="00EE3405">
        <w:rPr>
          <w:lang w:eastAsia="zh-CN"/>
        </w:rPr>
        <w:t>time and</w:t>
      </w:r>
      <w:r w:rsidRPr="00EE3405">
        <w:rPr>
          <w:lang w:eastAsia="zh-CN"/>
        </w:rPr>
        <w:t xml:space="preserve"> </w:t>
      </w:r>
      <w:r w:rsidR="0002618E">
        <w:rPr>
          <w:lang w:eastAsia="zh-CN"/>
        </w:rPr>
        <w:t xml:space="preserve">has not drifted significantly (such that it </w:t>
      </w:r>
      <w:r w:rsidR="00E41A78">
        <w:rPr>
          <w:lang w:eastAsia="zh-CN"/>
        </w:rPr>
        <w:t xml:space="preserve">can </w:t>
      </w:r>
      <w:r w:rsidRPr="00EE3405">
        <w:rPr>
          <w:lang w:eastAsia="zh-CN"/>
        </w:rPr>
        <w:t xml:space="preserve">still </w:t>
      </w:r>
      <w:r w:rsidR="00E41A78">
        <w:rPr>
          <w:lang w:eastAsia="zh-CN"/>
        </w:rPr>
        <w:t>receive</w:t>
      </w:r>
      <w:r w:rsidRPr="00EE3405">
        <w:rPr>
          <w:lang w:eastAsia="zh-CN"/>
        </w:rPr>
        <w:t xml:space="preserve"> packets from other synchronized UEs</w:t>
      </w:r>
      <w:r w:rsidR="0002618E">
        <w:rPr>
          <w:lang w:eastAsia="zh-CN"/>
        </w:rPr>
        <w:t xml:space="preserve">). For SLSS-based, this will entail studying if we can perform synchronized search only for </w:t>
      </w:r>
      <w:proofErr w:type="spellStart"/>
      <w:r w:rsidR="0002618E">
        <w:rPr>
          <w:lang w:eastAsia="zh-CN"/>
        </w:rPr>
        <w:t>SyncRef</w:t>
      </w:r>
      <w:proofErr w:type="spellEnd"/>
      <w:r w:rsidR="0002618E">
        <w:rPr>
          <w:lang w:eastAsia="zh-CN"/>
        </w:rPr>
        <w:t xml:space="preserve"> UEs. For non-SLSS based, this will entail studying if we can derive timing from other UEs from which we can receive packets. </w:t>
      </w:r>
    </w:p>
    <w:p w14:paraId="29052752" w14:textId="216FA7A6" w:rsidR="00EE3405" w:rsidRDefault="00EE3405" w:rsidP="00EE3405">
      <w:pPr>
        <w:jc w:val="both"/>
        <w:rPr>
          <w:lang w:eastAsia="zh-CN"/>
        </w:rPr>
      </w:pPr>
      <w:bookmarkStart w:id="4" w:name="_Hlk521575266"/>
      <w:r w:rsidRPr="00EE3405">
        <w:rPr>
          <w:b/>
          <w:lang w:eastAsia="zh-CN"/>
        </w:rPr>
        <w:t xml:space="preserve">Proposal </w:t>
      </w:r>
      <w:r w:rsidR="00C60BB3">
        <w:rPr>
          <w:b/>
          <w:lang w:eastAsia="zh-CN"/>
        </w:rPr>
        <w:t>3</w:t>
      </w:r>
      <w:r w:rsidRPr="00EE3405">
        <w:rPr>
          <w:b/>
          <w:lang w:eastAsia="zh-CN"/>
        </w:rPr>
        <w:t>:</w:t>
      </w:r>
      <w:r>
        <w:rPr>
          <w:lang w:eastAsia="zh-CN"/>
        </w:rPr>
        <w:t xml:space="preserve"> Study the time/frequency error requirements for NR V2X data/control and synchronization signal transmissions.</w:t>
      </w:r>
    </w:p>
    <w:p w14:paraId="149862BD" w14:textId="77777777" w:rsidR="003F385C" w:rsidRDefault="00EE3405" w:rsidP="00EA4F69">
      <w:pPr>
        <w:jc w:val="both"/>
        <w:rPr>
          <w:lang w:eastAsia="zh-CN"/>
        </w:rPr>
      </w:pPr>
      <w:r w:rsidRPr="00EE3405">
        <w:rPr>
          <w:b/>
          <w:lang w:eastAsia="zh-CN"/>
        </w:rPr>
        <w:t xml:space="preserve">Proposal </w:t>
      </w:r>
      <w:r w:rsidR="00C60BB3">
        <w:rPr>
          <w:b/>
          <w:lang w:eastAsia="zh-CN"/>
        </w:rPr>
        <w:t>4</w:t>
      </w:r>
      <w:r w:rsidRPr="00EE3405">
        <w:rPr>
          <w:lang w:eastAsia="zh-CN"/>
        </w:rPr>
        <w:t>:  Study reduced complexity synchronization procedure for NR V2X to address</w:t>
      </w:r>
      <w:r>
        <w:rPr>
          <w:b/>
          <w:lang w:eastAsia="zh-CN"/>
        </w:rPr>
        <w:t xml:space="preserve"> </w:t>
      </w:r>
      <w:r w:rsidRPr="00EE3405">
        <w:rPr>
          <w:lang w:eastAsia="zh-CN"/>
        </w:rPr>
        <w:t>the scenario wherein the 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w:t>
      </w:r>
      <w:r w:rsidR="0002618E" w:rsidRPr="00EE3405">
        <w:rPr>
          <w:lang w:eastAsia="zh-CN"/>
        </w:rPr>
        <w:t>time and</w:t>
      </w:r>
      <w:r w:rsidRPr="00EE3405">
        <w:rPr>
          <w:lang w:eastAsia="zh-CN"/>
        </w:rPr>
        <w:t xml:space="preserve"> </w:t>
      </w:r>
      <w:r w:rsidR="0002618E">
        <w:rPr>
          <w:lang w:eastAsia="zh-CN"/>
        </w:rPr>
        <w:t xml:space="preserve">has not drifted significantly (e.g. </w:t>
      </w:r>
      <w:r w:rsidRPr="00EE3405">
        <w:rPr>
          <w:lang w:eastAsia="zh-CN"/>
        </w:rPr>
        <w:t>can still receive packets from other synchronized UEs</w:t>
      </w:r>
      <w:r w:rsidR="0002618E">
        <w:rPr>
          <w:lang w:eastAsia="zh-CN"/>
        </w:rPr>
        <w:t>)</w:t>
      </w:r>
      <w:r w:rsidRPr="00EE3405">
        <w:rPr>
          <w:lang w:eastAsia="zh-CN"/>
        </w:rPr>
        <w:t>.</w:t>
      </w:r>
      <w:r w:rsidR="0002618E">
        <w:rPr>
          <w:lang w:eastAsia="zh-CN"/>
        </w:rPr>
        <w:t xml:space="preserve"> </w:t>
      </w:r>
    </w:p>
    <w:p w14:paraId="5AA79E5F" w14:textId="204FD785" w:rsidR="0037715D" w:rsidRDefault="003F385C" w:rsidP="00EA4F69">
      <w:pPr>
        <w:jc w:val="both"/>
        <w:rPr>
          <w:lang w:eastAsia="zh-CN"/>
        </w:rPr>
      </w:pPr>
      <w:r w:rsidRPr="00D60528">
        <w:rPr>
          <w:b/>
          <w:lang w:eastAsia="zh-CN"/>
        </w:rPr>
        <w:t>Proposal 5:</w:t>
      </w:r>
      <w:r>
        <w:rPr>
          <w:lang w:eastAsia="zh-CN"/>
        </w:rPr>
        <w:t xml:space="preserve"> </w:t>
      </w:r>
      <w:r w:rsidR="0002618E">
        <w:rPr>
          <w:lang w:eastAsia="zh-CN"/>
        </w:rPr>
        <w:t xml:space="preserve">Study non-SLSS based </w:t>
      </w:r>
      <w:r>
        <w:rPr>
          <w:lang w:eastAsia="zh-CN"/>
        </w:rPr>
        <w:t xml:space="preserve">synchronization </w:t>
      </w:r>
      <w:r w:rsidR="0002618E">
        <w:rPr>
          <w:lang w:eastAsia="zh-CN"/>
        </w:rPr>
        <w:t>enhancements.</w:t>
      </w:r>
      <w:bookmarkEnd w:id="4"/>
      <w:r w:rsidR="00EE3405" w:rsidRPr="00EE3405">
        <w:rPr>
          <w:lang w:eastAsia="zh-CN"/>
        </w:rPr>
        <w:t xml:space="preserve"> </w:t>
      </w: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51D6A660" w:rsidR="00DA5C72" w:rsidRDefault="00071978" w:rsidP="00004318">
      <w:pPr>
        <w:jc w:val="both"/>
      </w:pPr>
      <w:r>
        <w:t>In t</w:t>
      </w:r>
      <w:r w:rsidR="00D81ECD">
        <w:t>his contribution</w:t>
      </w:r>
      <w:r>
        <w:t>,</w:t>
      </w:r>
      <w:r w:rsidR="00D81ECD">
        <w:t xml:space="preserve"> </w:t>
      </w:r>
      <w:r w:rsidR="002E4927">
        <w:t xml:space="preserve">we propose </w:t>
      </w:r>
      <w:r w:rsidR="00EA4F69">
        <w:t>the following aspects for NR V2X synchronization study:</w:t>
      </w:r>
    </w:p>
    <w:p w14:paraId="450E482B" w14:textId="77777777" w:rsidR="00EA4F69" w:rsidRDefault="00EA4F69" w:rsidP="00EA4F69">
      <w:pPr>
        <w:jc w:val="both"/>
      </w:pPr>
      <w:r w:rsidRPr="00B44303">
        <w:rPr>
          <w:b/>
        </w:rPr>
        <w:t>Proposal 1:</w:t>
      </w:r>
      <w:r>
        <w:t xml:space="preserve"> Study the design of NR V2X sidelink synchronization signals and channel(s) once general agreements on NR V2X waveform are achieved in the SI phase. </w:t>
      </w:r>
    </w:p>
    <w:p w14:paraId="1469A19C" w14:textId="59CA9208" w:rsidR="00EA4F69" w:rsidRDefault="00EA4F69" w:rsidP="00EA4F69">
      <w:pPr>
        <w:jc w:val="both"/>
      </w:pPr>
      <w:r w:rsidRPr="00427066">
        <w:rPr>
          <w:b/>
        </w:rPr>
        <w:t xml:space="preserve">Proposal </w:t>
      </w:r>
      <w:r w:rsidR="00C60BB3">
        <w:rPr>
          <w:b/>
        </w:rPr>
        <w:t>2</w:t>
      </w:r>
      <w:r w:rsidRPr="00427066">
        <w:rPr>
          <w:b/>
        </w:rPr>
        <w:t>:</w:t>
      </w:r>
      <w:r>
        <w:t xml:space="preserve"> Study support of using time/frequency synchronization derived from LTE V2X on a given sidelink carrier to use for transmission and/or reception of NR V2X on a different sidelink carrier.</w:t>
      </w:r>
    </w:p>
    <w:p w14:paraId="77730820" w14:textId="4B512714" w:rsidR="00EA4F69" w:rsidRDefault="00EA4F69" w:rsidP="00EA4F69">
      <w:pPr>
        <w:jc w:val="both"/>
        <w:rPr>
          <w:lang w:eastAsia="zh-CN"/>
        </w:rPr>
      </w:pPr>
      <w:r w:rsidRPr="00EE3405">
        <w:rPr>
          <w:b/>
          <w:lang w:eastAsia="zh-CN"/>
        </w:rPr>
        <w:t xml:space="preserve">Proposal </w:t>
      </w:r>
      <w:r w:rsidR="00C60BB3">
        <w:rPr>
          <w:b/>
          <w:lang w:eastAsia="zh-CN"/>
        </w:rPr>
        <w:t>3</w:t>
      </w:r>
      <w:r w:rsidRPr="00EE3405">
        <w:rPr>
          <w:b/>
          <w:lang w:eastAsia="zh-CN"/>
        </w:rPr>
        <w:t>:</w:t>
      </w:r>
      <w:r>
        <w:rPr>
          <w:lang w:eastAsia="zh-CN"/>
        </w:rPr>
        <w:t xml:space="preserve"> Study the time/frequency error requirements for NR V2X data/control and synchronization signal transmissions.</w:t>
      </w:r>
    </w:p>
    <w:p w14:paraId="58C4360D" w14:textId="77777777" w:rsidR="003F385C" w:rsidRDefault="003F385C" w:rsidP="003F385C">
      <w:pPr>
        <w:jc w:val="both"/>
        <w:rPr>
          <w:lang w:eastAsia="zh-CN"/>
        </w:rPr>
      </w:pPr>
      <w:r w:rsidRPr="00EE3405">
        <w:rPr>
          <w:b/>
          <w:lang w:eastAsia="zh-CN"/>
        </w:rPr>
        <w:t xml:space="preserve">Proposal </w:t>
      </w:r>
      <w:r>
        <w:rPr>
          <w:b/>
          <w:lang w:eastAsia="zh-CN"/>
        </w:rPr>
        <w:t>4</w:t>
      </w:r>
      <w:r w:rsidRPr="00EE3405">
        <w:rPr>
          <w:lang w:eastAsia="zh-CN"/>
        </w:rPr>
        <w:t>:  Study reduced complexity synchronization procedure for NR V2X to address</w:t>
      </w:r>
      <w:r>
        <w:rPr>
          <w:b/>
          <w:lang w:eastAsia="zh-CN"/>
        </w:rPr>
        <w:t xml:space="preserve"> </w:t>
      </w:r>
      <w:r w:rsidRPr="00EE3405">
        <w:rPr>
          <w:lang w:eastAsia="zh-CN"/>
        </w:rPr>
        <w:t>the scenario wherein the 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time and </w:t>
      </w:r>
      <w:r>
        <w:rPr>
          <w:lang w:eastAsia="zh-CN"/>
        </w:rPr>
        <w:t xml:space="preserve">has not drifted significantly (e.g. </w:t>
      </w:r>
      <w:r w:rsidRPr="00EE3405">
        <w:rPr>
          <w:lang w:eastAsia="zh-CN"/>
        </w:rPr>
        <w:t>can still receive packets from other synchronized UEs</w:t>
      </w:r>
      <w:r>
        <w:rPr>
          <w:lang w:eastAsia="zh-CN"/>
        </w:rPr>
        <w:t>)</w:t>
      </w:r>
      <w:r w:rsidRPr="00EE3405">
        <w:rPr>
          <w:lang w:eastAsia="zh-CN"/>
        </w:rPr>
        <w:t>.</w:t>
      </w:r>
      <w:r>
        <w:rPr>
          <w:lang w:eastAsia="zh-CN"/>
        </w:rPr>
        <w:t xml:space="preserve"> </w:t>
      </w:r>
    </w:p>
    <w:p w14:paraId="7A5A8528" w14:textId="77777777" w:rsidR="003F385C" w:rsidRDefault="003F385C" w:rsidP="003F385C">
      <w:pPr>
        <w:jc w:val="both"/>
        <w:rPr>
          <w:lang w:eastAsia="zh-CN"/>
        </w:rPr>
      </w:pPr>
      <w:r w:rsidRPr="005C36CF">
        <w:rPr>
          <w:b/>
          <w:lang w:eastAsia="zh-CN"/>
        </w:rPr>
        <w:t>Proposal 5:</w:t>
      </w:r>
      <w:r>
        <w:rPr>
          <w:lang w:eastAsia="zh-CN"/>
        </w:rPr>
        <w:t xml:space="preserve"> Study non-SLSS based synchronization enhancements.</w:t>
      </w:r>
      <w:r w:rsidRPr="00EE3405">
        <w:rPr>
          <w:lang w:eastAsia="zh-CN"/>
        </w:rPr>
        <w:t xml:space="preserve"> </w:t>
      </w:r>
    </w:p>
    <w:p w14:paraId="0384EB0D" w14:textId="58666DB5" w:rsidR="00A33F38" w:rsidRPr="00D81ECD" w:rsidRDefault="00A33F38" w:rsidP="00004318">
      <w:pPr>
        <w:jc w:val="both"/>
      </w:pPr>
    </w:p>
    <w:bookmarkEnd w:id="0"/>
    <w:p w14:paraId="785E6F9B" w14:textId="738C0BF1" w:rsidR="002C1D2C" w:rsidRPr="0002400F" w:rsidRDefault="001F0020" w:rsidP="00BF56BB">
      <w:pPr>
        <w:pStyle w:val="Heading1"/>
        <w:numPr>
          <w:ilvl w:val="0"/>
          <w:numId w:val="17"/>
        </w:numPr>
        <w:jc w:val="both"/>
      </w:pPr>
      <w:r>
        <w:t>References</w:t>
      </w:r>
      <w:bookmarkStart w:id="5" w:name="_GoBack"/>
      <w:bookmarkEnd w:id="5"/>
    </w:p>
    <w:sectPr w:rsidR="002C1D2C"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2"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45"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
  </w:num>
  <w:num w:numId="3">
    <w:abstractNumId w:val="14"/>
  </w:num>
  <w:num w:numId="4">
    <w:abstractNumId w:val="28"/>
  </w:num>
  <w:num w:numId="5">
    <w:abstractNumId w:val="35"/>
  </w:num>
  <w:num w:numId="6">
    <w:abstractNumId w:val="11"/>
  </w:num>
  <w:num w:numId="7">
    <w:abstractNumId w:val="9"/>
  </w:num>
  <w:num w:numId="8">
    <w:abstractNumId w:val="16"/>
  </w:num>
  <w:num w:numId="9">
    <w:abstractNumId w:val="12"/>
  </w:num>
  <w:num w:numId="10">
    <w:abstractNumId w:val="10"/>
  </w:num>
  <w:num w:numId="11">
    <w:abstractNumId w:val="6"/>
  </w:num>
  <w:num w:numId="12">
    <w:abstractNumId w:val="41"/>
  </w:num>
  <w:num w:numId="13">
    <w:abstractNumId w:val="29"/>
  </w:num>
  <w:num w:numId="14">
    <w:abstractNumId w:val="34"/>
  </w:num>
  <w:num w:numId="15">
    <w:abstractNumId w:val="20"/>
  </w:num>
  <w:num w:numId="16">
    <w:abstractNumId w:val="0"/>
  </w:num>
  <w:num w:numId="17">
    <w:abstractNumId w:val="32"/>
  </w:num>
  <w:num w:numId="18">
    <w:abstractNumId w:val="42"/>
  </w:num>
  <w:num w:numId="19">
    <w:abstractNumId w:val="19"/>
  </w:num>
  <w:num w:numId="20">
    <w:abstractNumId w:val="37"/>
  </w:num>
  <w:num w:numId="21">
    <w:abstractNumId w:val="7"/>
  </w:num>
  <w:num w:numId="22">
    <w:abstractNumId w:val="1"/>
  </w:num>
  <w:num w:numId="23">
    <w:abstractNumId w:val="13"/>
  </w:num>
  <w:num w:numId="24">
    <w:abstractNumId w:val="26"/>
  </w:num>
  <w:num w:numId="25">
    <w:abstractNumId w:val="8"/>
  </w:num>
  <w:num w:numId="26">
    <w:abstractNumId w:val="15"/>
  </w:num>
  <w:num w:numId="27">
    <w:abstractNumId w:val="38"/>
  </w:num>
  <w:num w:numId="28">
    <w:abstractNumId w:val="43"/>
  </w:num>
  <w:num w:numId="29">
    <w:abstractNumId w:val="4"/>
  </w:num>
  <w:num w:numId="30">
    <w:abstractNumId w:val="33"/>
  </w:num>
  <w:num w:numId="31">
    <w:abstractNumId w:val="3"/>
  </w:num>
  <w:num w:numId="32">
    <w:abstractNumId w:val="21"/>
  </w:num>
  <w:num w:numId="33">
    <w:abstractNumId w:val="31"/>
  </w:num>
  <w:num w:numId="34">
    <w:abstractNumId w:val="45"/>
  </w:num>
  <w:num w:numId="35">
    <w:abstractNumId w:val="27"/>
  </w:num>
  <w:num w:numId="36">
    <w:abstractNumId w:val="39"/>
  </w:num>
  <w:num w:numId="37">
    <w:abstractNumId w:val="40"/>
  </w:num>
  <w:num w:numId="38">
    <w:abstractNumId w:val="30"/>
  </w:num>
  <w:num w:numId="39">
    <w:abstractNumId w:val="18"/>
  </w:num>
  <w:num w:numId="40">
    <w:abstractNumId w:val="22"/>
  </w:num>
  <w:num w:numId="41">
    <w:abstractNumId w:val="5"/>
  </w:num>
  <w:num w:numId="42">
    <w:abstractNumId w:val="36"/>
  </w:num>
  <w:num w:numId="43">
    <w:abstractNumId w:val="25"/>
  </w:num>
  <w:num w:numId="44">
    <w:abstractNumId w:val="44"/>
  </w:num>
  <w:num w:numId="45">
    <w:abstractNumId w:val="24"/>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3FD9"/>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5BD"/>
    <w:rsid w:val="003178AF"/>
    <w:rsid w:val="00317DFC"/>
    <w:rsid w:val="00317F7B"/>
    <w:rsid w:val="00320601"/>
    <w:rsid w:val="003212B5"/>
    <w:rsid w:val="00322FCC"/>
    <w:rsid w:val="003234EC"/>
    <w:rsid w:val="00324928"/>
    <w:rsid w:val="00325F4B"/>
    <w:rsid w:val="0032640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6DE"/>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385C"/>
    <w:rsid w:val="003F6FD5"/>
    <w:rsid w:val="003F76BD"/>
    <w:rsid w:val="004009FD"/>
    <w:rsid w:val="00402490"/>
    <w:rsid w:val="00402CAB"/>
    <w:rsid w:val="004043A8"/>
    <w:rsid w:val="00404F01"/>
    <w:rsid w:val="0040572D"/>
    <w:rsid w:val="00405869"/>
    <w:rsid w:val="00407841"/>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6367"/>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492"/>
    <w:rsid w:val="00586C04"/>
    <w:rsid w:val="00587DDF"/>
    <w:rsid w:val="00591ACA"/>
    <w:rsid w:val="00592BDF"/>
    <w:rsid w:val="0059430A"/>
    <w:rsid w:val="005943C0"/>
    <w:rsid w:val="00595F0B"/>
    <w:rsid w:val="00596F55"/>
    <w:rsid w:val="005A11F4"/>
    <w:rsid w:val="005A29A4"/>
    <w:rsid w:val="005A2AAA"/>
    <w:rsid w:val="005A3E23"/>
    <w:rsid w:val="005A49F6"/>
    <w:rsid w:val="005A51F5"/>
    <w:rsid w:val="005A61CD"/>
    <w:rsid w:val="005A66E2"/>
    <w:rsid w:val="005A766D"/>
    <w:rsid w:val="005B02ED"/>
    <w:rsid w:val="005B0EF2"/>
    <w:rsid w:val="005B2C01"/>
    <w:rsid w:val="005B2D2C"/>
    <w:rsid w:val="005B36C0"/>
    <w:rsid w:val="005B4B91"/>
    <w:rsid w:val="005B61CC"/>
    <w:rsid w:val="005C16A8"/>
    <w:rsid w:val="005C2B66"/>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F1546"/>
    <w:rsid w:val="006F16AD"/>
    <w:rsid w:val="006F351C"/>
    <w:rsid w:val="006F40CC"/>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23A"/>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1F39"/>
    <w:rsid w:val="008C6A74"/>
    <w:rsid w:val="008C6F5E"/>
    <w:rsid w:val="008D3F80"/>
    <w:rsid w:val="008D7CF1"/>
    <w:rsid w:val="008E08C6"/>
    <w:rsid w:val="008E5287"/>
    <w:rsid w:val="008E603C"/>
    <w:rsid w:val="008E7067"/>
    <w:rsid w:val="008E7140"/>
    <w:rsid w:val="008E7D2D"/>
    <w:rsid w:val="008F24E1"/>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97E5B"/>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94D"/>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4025"/>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52A5"/>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3859"/>
    <w:rsid w:val="00B53C2C"/>
    <w:rsid w:val="00B54A61"/>
    <w:rsid w:val="00B57F79"/>
    <w:rsid w:val="00B6107A"/>
    <w:rsid w:val="00B6122B"/>
    <w:rsid w:val="00B62EC7"/>
    <w:rsid w:val="00B6329B"/>
    <w:rsid w:val="00B641B2"/>
    <w:rsid w:val="00B67177"/>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BF56BB"/>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0BB3"/>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B5E"/>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5E8C"/>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0528"/>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FFB"/>
    <w:rsid w:val="00E41A78"/>
    <w:rsid w:val="00E42F5B"/>
    <w:rsid w:val="00E45632"/>
    <w:rsid w:val="00E45FA4"/>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70327"/>
    <w:rsid w:val="00E71D81"/>
    <w:rsid w:val="00E74108"/>
    <w:rsid w:val="00E74757"/>
    <w:rsid w:val="00E76FF9"/>
    <w:rsid w:val="00E8012E"/>
    <w:rsid w:val="00E8120C"/>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18"/>
    <w:rsid w:val="00ED6083"/>
    <w:rsid w:val="00ED71DA"/>
    <w:rsid w:val="00ED7A9E"/>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0836"/>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01E4"/>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716655369">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1022828179">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 w:id="25489998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SRVZ567275SS-1352137377-1278</_dlc_DocId>
    <_dlc_DocIdUrl xmlns="932dab1a-f806-440a-b546-5f112cb4e652">
      <Url>https://projects.qualcomm.com/sites/libra/_layouts/15/DocIdRedir.aspx?ID=SRVZ567275SS-1352137377-1278</Url>
      <Description>SRVZ567275SS-1352137377-1278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8CC01E-CC7A-43D6-A8CB-BC86EB16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Arjun Bharadwaj</cp:lastModifiedBy>
  <cp:revision>7</cp:revision>
  <dcterms:created xsi:type="dcterms:W3CDTF">2018-09-27T03:11:00Z</dcterms:created>
  <dcterms:modified xsi:type="dcterms:W3CDTF">2018-09-28T22:43:00Z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1801dbdf-a5b3-4312-a705-8573566741a0</vt:lpwstr>
  </property>
</Properties>
</file>